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01BAA">
      <w:pPr>
        <w:jc w:val="center"/>
        <w:rPr>
          <w:rFonts w:ascii="黑体" w:hAnsi="黑体" w:eastAsia="黑体"/>
          <w:color w:val="auto"/>
          <w:sz w:val="52"/>
          <w:szCs w:val="52"/>
        </w:rPr>
      </w:pPr>
      <w:r>
        <w:rPr>
          <w:rFonts w:hint="eastAsia" w:ascii="黑体" w:hAnsi="黑体" w:eastAsia="黑体"/>
          <w:color w:val="auto"/>
          <w:sz w:val="52"/>
          <w:szCs w:val="52"/>
        </w:rPr>
        <w:t>教职工理论学习参考资料</w:t>
      </w:r>
    </w:p>
    <w:p w14:paraId="486AD58E">
      <w:pPr>
        <w:jc w:val="center"/>
        <w:rPr>
          <w:rFonts w:hint="eastAsia" w:ascii="黑体" w:hAnsi="黑体" w:eastAsia="黑体"/>
          <w:color w:val="auto"/>
          <w:sz w:val="24"/>
          <w:szCs w:val="24"/>
        </w:rPr>
      </w:pPr>
      <w:r>
        <w:rPr>
          <w:rFonts w:hint="eastAsia" w:ascii="黑体" w:hAnsi="黑体" w:eastAsia="黑体"/>
          <w:color w:val="auto"/>
          <w:sz w:val="24"/>
          <w:szCs w:val="24"/>
        </w:rPr>
        <w:t>（202</w:t>
      </w:r>
      <w:r>
        <w:rPr>
          <w:rFonts w:hint="eastAsia" w:ascii="黑体" w:hAnsi="黑体" w:eastAsia="黑体"/>
          <w:color w:val="auto"/>
          <w:sz w:val="24"/>
          <w:szCs w:val="24"/>
          <w:lang w:val="en-US" w:eastAsia="zh-CN"/>
        </w:rPr>
        <w:t>6</w:t>
      </w:r>
      <w:r>
        <w:rPr>
          <w:rFonts w:hint="eastAsia" w:ascii="黑体" w:hAnsi="黑体" w:eastAsia="黑体"/>
          <w:color w:val="auto"/>
          <w:sz w:val="24"/>
          <w:szCs w:val="24"/>
        </w:rPr>
        <w:t>第</w:t>
      </w:r>
      <w:r>
        <w:rPr>
          <w:rFonts w:hint="eastAsia" w:ascii="黑体" w:hAnsi="黑体" w:eastAsia="黑体"/>
          <w:color w:val="auto"/>
          <w:sz w:val="24"/>
          <w:szCs w:val="24"/>
          <w:lang w:val="en-US" w:eastAsia="zh-CN"/>
        </w:rPr>
        <w:t>1</w:t>
      </w:r>
      <w:r>
        <w:rPr>
          <w:rFonts w:hint="eastAsia" w:ascii="黑体" w:hAnsi="黑体" w:eastAsia="黑体"/>
          <w:color w:val="auto"/>
          <w:sz w:val="24"/>
          <w:szCs w:val="24"/>
        </w:rPr>
        <w:t>期）</w:t>
      </w:r>
    </w:p>
    <w:p w14:paraId="2C6F1265">
      <w:pPr>
        <w:ind w:firstLine="240" w:firstLineChars="100"/>
        <w:jc w:val="left"/>
        <w:rPr>
          <w:rFonts w:hint="eastAsia" w:ascii="黑体" w:hAnsi="黑体" w:eastAsia="黑体"/>
          <w:color w:val="auto"/>
          <w:sz w:val="24"/>
          <w:szCs w:val="24"/>
          <w:highlight w:val="none"/>
          <w:lang w:val="en-US" w:eastAsia="zh-CN"/>
        </w:rPr>
      </w:pPr>
      <w:r>
        <w:rPr>
          <w:rFonts w:hint="eastAsia" w:ascii="黑体" w:hAnsi="黑体" w:eastAsia="黑体"/>
          <w:color w:val="auto"/>
          <w:sz w:val="24"/>
          <w:szCs w:val="24"/>
        </w:rPr>
        <w:t>泰山学院党委宣传部编</w:t>
      </w:r>
      <w:r>
        <w:rPr>
          <w:rFonts w:hint="eastAsia" w:ascii="黑体" w:hAnsi="黑体" w:eastAsia="黑体"/>
          <w:color w:val="auto"/>
          <w:sz w:val="24"/>
          <w:szCs w:val="24"/>
          <w:lang w:val="en-US" w:eastAsia="zh-CN"/>
        </w:rPr>
        <w:t xml:space="preserve">                                  </w:t>
      </w:r>
      <w:r>
        <w:rPr>
          <w:rFonts w:hint="eastAsia" w:ascii="黑体" w:hAnsi="黑体" w:eastAsia="黑体"/>
          <w:color w:val="auto"/>
          <w:sz w:val="24"/>
          <w:szCs w:val="24"/>
        </w:rPr>
        <w:t>202</w:t>
      </w:r>
      <w:r>
        <w:rPr>
          <w:rFonts w:hint="eastAsia" w:ascii="黑体" w:hAnsi="黑体" w:eastAsia="黑体"/>
          <w:color w:val="auto"/>
          <w:sz w:val="24"/>
          <w:szCs w:val="24"/>
          <w:lang w:val="en-US" w:eastAsia="zh-CN"/>
        </w:rPr>
        <w:t>6年</w:t>
      </w:r>
      <w:r>
        <w:rPr>
          <w:rFonts w:hint="eastAsia" w:ascii="黑体" w:hAnsi="黑体" w:eastAsia="黑体"/>
          <w:color w:val="auto"/>
          <w:sz w:val="24"/>
          <w:szCs w:val="24"/>
          <w:highlight w:val="none"/>
          <w:lang w:val="en-US" w:eastAsia="zh-CN"/>
        </w:rPr>
        <w:t>1月18日</w:t>
      </w:r>
    </w:p>
    <w:p w14:paraId="624DAB89">
      <w:pPr>
        <w:ind w:firstLine="240" w:firstLineChars="100"/>
        <w:jc w:val="left"/>
        <w:rPr>
          <w:rFonts w:hint="eastAsia" w:ascii="黑体" w:hAnsi="黑体" w:eastAsia="黑体"/>
          <w:color w:val="auto"/>
          <w:sz w:val="24"/>
          <w:szCs w:val="24"/>
        </w:rPr>
      </w:pPr>
      <w:r>
        <w:rPr>
          <w:rFonts w:hint="eastAsia" w:ascii="黑体" w:hAnsi="黑体" w:eastAsia="黑体"/>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146685</wp:posOffset>
                </wp:positionV>
                <wp:extent cx="5534025" cy="0"/>
                <wp:effectExtent l="0" t="4445" r="0" b="5080"/>
                <wp:wrapNone/>
                <wp:docPr id="1" name="1027"/>
                <wp:cNvGraphicFramePr/>
                <a:graphic xmlns:a="http://schemas.openxmlformats.org/drawingml/2006/main">
                  <a:graphicData uri="http://schemas.microsoft.com/office/word/2010/wordprocessingShape">
                    <wps:wsp>
                      <wps:cNvCnPr/>
                      <wps:spPr>
                        <a:xfrm>
                          <a:off x="0" y="0"/>
                          <a:ext cx="55340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1027" o:spid="_x0000_s1026" o:spt="32" type="#_x0000_t32" style="position:absolute;left:0pt;margin-left:-4.5pt;margin-top:11.55pt;height:0pt;width:435.75pt;z-index:251659264;mso-width-relative:page;mso-height-relative:page;" filled="f" stroked="t" coordsize="21600,21600" o:gfxdata="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5gbN1wAAAAgBAAAPAAAAAAAA&#10;AAEAIAAAACIAAABkcnMvZG93bnJldi54bWxQSwECFAAUAAAACACHTuJAa5rjItoBAADZAwAADgAA&#10;AAAAAAABACAAAAAmAQAAZHJzL2Uyb0RvYy54bWxQSwUGAAAAAAYABgBZAQAAcgUAAAAA&#10;">
                <v:fill on="f" focussize="0,0"/>
                <v:stroke color="#000000" joinstyle="round"/>
                <v:imagedata o:title=""/>
                <o:lock v:ext="edit" aspectratio="f"/>
              </v:shape>
            </w:pict>
          </mc:Fallback>
        </mc:AlternateContent>
      </w:r>
    </w:p>
    <w:p w14:paraId="046F09BF">
      <w:pPr>
        <w:numPr>
          <w:ilvl w:val="0"/>
          <w:numId w:val="1"/>
        </w:numPr>
        <w:rPr>
          <w:rFonts w:ascii="黑体" w:hAnsi="黑体" w:eastAsia="黑体"/>
          <w:color w:val="auto"/>
          <w:sz w:val="30"/>
          <w:szCs w:val="30"/>
        </w:rPr>
      </w:pPr>
      <w:r>
        <w:rPr>
          <w:rFonts w:hint="eastAsia" w:ascii="黑体" w:hAnsi="黑体" w:eastAsia="黑体"/>
          <w:color w:val="auto"/>
          <w:sz w:val="30"/>
          <w:szCs w:val="30"/>
        </w:rPr>
        <w:t>学习内容</w:t>
      </w:r>
    </w:p>
    <w:p w14:paraId="23711FB3">
      <w:pPr>
        <w:widowControl w:val="0"/>
        <w:numPr>
          <w:ilvl w:val="0"/>
          <w:numId w:val="0"/>
        </w:numPr>
        <w:jc w:val="both"/>
        <w:rPr>
          <w:rFonts w:hint="eastAsia" w:ascii="黑体" w:hAnsi="黑体" w:eastAsia="黑体"/>
          <w:color w:val="auto"/>
          <w:sz w:val="30"/>
          <w:szCs w:val="30"/>
        </w:rPr>
      </w:pPr>
    </w:p>
    <w:p w14:paraId="5D7A2FCD">
      <w:pPr>
        <w:widowControl w:val="0"/>
        <w:numPr>
          <w:ilvl w:val="0"/>
          <w:numId w:val="0"/>
        </w:numPr>
        <w:jc w:val="both"/>
        <w:rPr>
          <w:rFonts w:hint="eastAsia" w:ascii="黑体" w:hAnsi="黑体" w:eastAsia="黑体"/>
          <w:color w:val="auto"/>
          <w:sz w:val="30"/>
          <w:szCs w:val="30"/>
        </w:rPr>
      </w:pPr>
      <w:bookmarkStart w:id="0" w:name="_GoBack"/>
      <w:bookmarkEnd w:id="0"/>
    </w:p>
    <w:p w14:paraId="2530853F">
      <w:pPr>
        <w:widowControl w:val="0"/>
        <w:numPr>
          <w:ilvl w:val="0"/>
          <w:numId w:val="0"/>
        </w:numPr>
        <w:jc w:val="both"/>
        <w:rPr>
          <w:rFonts w:hint="eastAsia" w:ascii="黑体" w:hAnsi="黑体" w:eastAsia="黑体"/>
          <w:color w:val="auto"/>
          <w:sz w:val="30"/>
          <w:szCs w:val="30"/>
        </w:rPr>
      </w:pPr>
    </w:p>
    <w:p w14:paraId="6236F08A">
      <w:pPr>
        <w:widowControl w:val="0"/>
        <w:numPr>
          <w:ilvl w:val="0"/>
          <w:numId w:val="0"/>
        </w:numPr>
        <w:jc w:val="both"/>
        <w:rPr>
          <w:rFonts w:hint="eastAsia" w:ascii="黑体" w:hAnsi="黑体" w:eastAsia="黑体"/>
          <w:color w:val="auto"/>
          <w:sz w:val="30"/>
          <w:szCs w:val="30"/>
        </w:rPr>
      </w:pPr>
    </w:p>
    <w:p w14:paraId="04F3B1CA">
      <w:pPr>
        <w:widowControl w:val="0"/>
        <w:numPr>
          <w:ilvl w:val="0"/>
          <w:numId w:val="0"/>
        </w:numPr>
        <w:jc w:val="both"/>
        <w:rPr>
          <w:rFonts w:hint="eastAsia" w:ascii="黑体" w:hAnsi="黑体" w:eastAsia="黑体"/>
          <w:color w:val="auto"/>
          <w:sz w:val="30"/>
          <w:szCs w:val="30"/>
        </w:rPr>
      </w:pPr>
    </w:p>
    <w:p w14:paraId="46706F13">
      <w:pPr>
        <w:widowControl w:val="0"/>
        <w:numPr>
          <w:ilvl w:val="0"/>
          <w:numId w:val="0"/>
        </w:numPr>
        <w:jc w:val="both"/>
        <w:rPr>
          <w:rFonts w:hint="eastAsia" w:ascii="黑体" w:hAnsi="黑体" w:eastAsia="黑体"/>
          <w:color w:val="auto"/>
          <w:sz w:val="30"/>
          <w:szCs w:val="30"/>
        </w:rPr>
      </w:pPr>
    </w:p>
    <w:p w14:paraId="094E65E4">
      <w:pPr>
        <w:widowControl w:val="0"/>
        <w:numPr>
          <w:ilvl w:val="0"/>
          <w:numId w:val="0"/>
        </w:numPr>
        <w:jc w:val="both"/>
        <w:rPr>
          <w:rFonts w:hint="eastAsia" w:ascii="黑体" w:hAnsi="黑体" w:eastAsia="黑体"/>
          <w:color w:val="auto"/>
          <w:sz w:val="30"/>
          <w:szCs w:val="30"/>
        </w:rPr>
      </w:pPr>
    </w:p>
    <w:p w14:paraId="043C4851">
      <w:pPr>
        <w:spacing w:line="640" w:lineRule="exact"/>
        <w:ind w:left="640" w:hanging="640" w:hangingChars="200"/>
        <w:rPr>
          <w:rFonts w:hint="default" w:ascii="楷体_GB2312" w:hAnsi="黑体" w:eastAsia="楷体_GB2312"/>
          <w:color w:val="auto"/>
          <w:sz w:val="32"/>
          <w:szCs w:val="32"/>
          <w:lang w:val="en-US" w:eastAsia="zh-CN"/>
        </w:rPr>
      </w:pPr>
      <w:r>
        <w:rPr>
          <w:rFonts w:hint="eastAsia" w:ascii="楷体_GB2312" w:hAnsi="黑体" w:eastAsia="楷体_GB2312"/>
          <w:color w:val="auto"/>
          <w:sz w:val="32"/>
          <w:szCs w:val="32"/>
          <w:lang w:val="en-US" w:eastAsia="zh-CN"/>
        </w:rPr>
        <w:t>一、习近平：学习好贯彻好党的二十届四中全会精神........1</w:t>
      </w:r>
    </w:p>
    <w:p w14:paraId="579EB9CD">
      <w:pPr>
        <w:spacing w:line="640" w:lineRule="exact"/>
        <w:ind w:left="640" w:hanging="640" w:hangingChars="200"/>
        <w:rPr>
          <w:rFonts w:hint="eastAsia" w:ascii="楷体_GB2312" w:hAnsi="黑体" w:eastAsia="楷体_GB2312"/>
          <w:color w:val="auto"/>
          <w:sz w:val="32"/>
          <w:szCs w:val="32"/>
          <w:lang w:val="en-US" w:eastAsia="zh-CN"/>
        </w:rPr>
      </w:pPr>
      <w:r>
        <w:rPr>
          <w:rFonts w:hint="eastAsia" w:ascii="楷体_GB2312" w:hAnsi="黑体" w:eastAsia="楷体_GB2312"/>
          <w:color w:val="auto"/>
          <w:sz w:val="32"/>
          <w:szCs w:val="32"/>
          <w:lang w:val="en-US" w:eastAsia="zh-CN"/>
        </w:rPr>
        <w:t>二、习近平：努力讲好中国科技创新故事 为建设科技强国凝聚更多智慧和力量....................................9</w:t>
      </w:r>
    </w:p>
    <w:p w14:paraId="0F9B4F2B">
      <w:pPr>
        <w:spacing w:line="640" w:lineRule="exact"/>
        <w:ind w:left="640" w:hanging="640" w:hangingChars="200"/>
        <w:rPr>
          <w:rFonts w:hint="default" w:ascii="楷体_GB2312" w:hAnsi="黑体" w:eastAsia="楷体_GB2312"/>
          <w:color w:val="auto"/>
          <w:sz w:val="32"/>
          <w:szCs w:val="32"/>
          <w:lang w:val="en-US" w:eastAsia="zh-CN"/>
        </w:rPr>
      </w:pPr>
      <w:r>
        <w:rPr>
          <w:rFonts w:hint="eastAsia" w:ascii="楷体_GB2312" w:hAnsi="黑体" w:eastAsia="楷体_GB2312"/>
          <w:color w:val="auto"/>
          <w:sz w:val="32"/>
          <w:szCs w:val="32"/>
          <w:lang w:val="en-US" w:eastAsia="zh-CN"/>
        </w:rPr>
        <w:t>三、习近平：以更高标准更实举措推进全面从严治党 为实现“十五五”时期目标任务提供坚强保障....................10</w:t>
      </w:r>
    </w:p>
    <w:p w14:paraId="07DF5725">
      <w:pPr>
        <w:spacing w:line="640" w:lineRule="exact"/>
        <w:ind w:left="640" w:hanging="640" w:hangingChars="200"/>
        <w:rPr>
          <w:rFonts w:hint="default" w:ascii="楷体_GB2312" w:hAnsi="黑体" w:eastAsia="楷体_GB2312"/>
          <w:color w:val="auto"/>
          <w:sz w:val="32"/>
          <w:szCs w:val="32"/>
          <w:lang w:val="en-US" w:eastAsia="zh-CN"/>
        </w:rPr>
      </w:pPr>
      <w:r>
        <w:rPr>
          <w:rFonts w:hint="eastAsia" w:ascii="楷体_GB2312" w:hAnsi="黑体" w:eastAsia="楷体_GB2312"/>
          <w:color w:val="auto"/>
          <w:sz w:val="32"/>
          <w:szCs w:val="32"/>
          <w:lang w:val="en-US" w:eastAsia="zh-CN"/>
        </w:rPr>
        <w:t>四、习近平：在中央城市工作会议上的讲话................14</w:t>
      </w:r>
    </w:p>
    <w:p w14:paraId="17211AA9">
      <w:pPr>
        <w:spacing w:line="640" w:lineRule="exact"/>
        <w:ind w:left="640" w:hanging="640" w:hangingChars="200"/>
        <w:rPr>
          <w:rFonts w:hint="default" w:ascii="楷体_GB2312" w:hAnsi="黑体" w:eastAsia="楷体_GB2312"/>
          <w:color w:val="0000FF"/>
          <w:sz w:val="32"/>
          <w:szCs w:val="32"/>
          <w:lang w:val="en-US" w:eastAsia="zh-CN"/>
        </w:rPr>
      </w:pPr>
    </w:p>
    <w:p w14:paraId="5FD5312B">
      <w:pPr>
        <w:spacing w:line="640" w:lineRule="exact"/>
        <w:ind w:left="640" w:hanging="640" w:hangingChars="200"/>
        <w:rPr>
          <w:rFonts w:hint="default" w:ascii="楷体_GB2312" w:hAnsi="黑体" w:eastAsia="楷体_GB2312"/>
          <w:color w:val="0000FF"/>
          <w:sz w:val="32"/>
          <w:szCs w:val="32"/>
          <w:lang w:val="en-US" w:eastAsia="zh-CN"/>
        </w:rPr>
        <w:sectPr>
          <w:headerReference r:id="rId3" w:type="default"/>
          <w:pgSz w:w="11906" w:h="16838"/>
          <w:pgMar w:top="2098" w:right="1474" w:bottom="1985" w:left="1588" w:header="851" w:footer="992" w:gutter="0"/>
          <w:pgNumType w:start="1"/>
          <w:cols w:space="425" w:num="1"/>
          <w:docGrid w:type="lines" w:linePitch="312" w:charSpace="0"/>
        </w:sectPr>
      </w:pPr>
    </w:p>
    <w:p w14:paraId="583D3A3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学习好贯彻好党的二十届四中全会精神</w:t>
      </w:r>
    </w:p>
    <w:p w14:paraId="3B2DE6B8">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习近平</w:t>
      </w:r>
    </w:p>
    <w:p w14:paraId="5235C92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这次全会，听取了中央政治局工作报告，分析了当前形势和任务，审议通过了《中共中央关于制定国民经济和社会发展第十五个五年规划的建议》，圆满完成各项议程。</w:t>
      </w:r>
    </w:p>
    <w:p w14:paraId="28C6F82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全会通过的《建议》，立足于夯实基础、全面发力，对“十五五”时期事关中国式现代化全局的战略任务作出部署，是指导“十五五”时期经济社会发展的纲领性文件。学习好贯彻好全会精神，是当前和今后一个时期全党全国的一项重大政治任务。</w:t>
      </w:r>
    </w:p>
    <w:p w14:paraId="7E887EB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下面，我代表中央政治局，就贯彻落实全会精神讲几点意见。</w:t>
      </w:r>
    </w:p>
    <w:p w14:paraId="7517403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一、深入学习领会全会精神</w:t>
      </w:r>
    </w:p>
    <w:p w14:paraId="7BB9946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要迅速掀起学习贯彻全会精神的热潮，通过各种方式组织好全会精神的学习、宣讲、宣传，使全党全社会领会好全会精神。</w:t>
      </w:r>
    </w:p>
    <w:p w14:paraId="146088B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第一，深刻领会“十五五”时期经济社会发展的重大意义。</w:t>
      </w:r>
      <w:r>
        <w:rPr>
          <w:rFonts w:hint="eastAsia" w:ascii="仿宋_GB2312" w:hAnsi="仿宋_GB2312" w:eastAsia="仿宋_GB2312" w:cs="仿宋_GB2312"/>
          <w:color w:val="auto"/>
          <w:sz w:val="32"/>
          <w:szCs w:val="32"/>
          <w:lang w:val="en-US" w:eastAsia="zh-CN"/>
        </w:rPr>
        <w:t>按照经济社会发展规律确定奋斗目标，一以贯之锚定目标团结奋进，是我们党的一个鲜明特点和独特优势。实现社会主义现代化是一个阶梯式递进、不断发展进步的历史过程，需要不懈努力、接续奋斗。在基本实现社会主义现代化进程中，“十五五”时期具有承前启后的重要地位。全党要认识到，抓好“十五五”时期经济社会发展，对于实现党的二十大描绘的宏伟蓝图、分阶段有步骤推进中国式现代化，有效应对复杂严峻的外部环境新变化、在激烈国际竞争中赢得战略主动，适应我国发展阶段性要求、深入推动高质量发展，为基本实现社会主义现代化奠定更加坚实的基础，具有重大而深远的意义。</w:t>
      </w:r>
    </w:p>
    <w:p w14:paraId="6B1C8D2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第二，深刻领会党中央关于国内外形势的基本判断。</w:t>
      </w:r>
      <w:r>
        <w:rPr>
          <w:rFonts w:hint="eastAsia" w:ascii="仿宋_GB2312" w:hAnsi="仿宋_GB2312" w:eastAsia="仿宋_GB2312" w:cs="仿宋_GB2312"/>
          <w:color w:val="auto"/>
          <w:sz w:val="32"/>
          <w:szCs w:val="32"/>
          <w:lang w:val="en-US" w:eastAsia="zh-CN"/>
        </w:rPr>
        <w:t>正确判断形势是科学决策的重要前提。《建议》深刻分析“十五五”时期我国发展面临的复杂环境，得出我国发展处于战略机遇和风险挑战并存、不确定难预料因素增多的时期的基本判断，强调集中力量办好自己的事，据此提出目标任务、重大举措。全党要把思想和行动统一到党中央这一基本判断和重大决策部署上来。形势在不断变化，我们要继续加强研判，积极识变应变求变，既保持战略定力、坚定必胜信心，又居安思危、增强忧患意识，始终保持战略主动。</w:t>
      </w:r>
    </w:p>
    <w:p w14:paraId="60F4159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第三，深刻领会“十五五”时期经济社会发展的指导思想和重大原则。</w:t>
      </w:r>
      <w:r>
        <w:rPr>
          <w:rFonts w:hint="eastAsia" w:ascii="仿宋_GB2312" w:hAnsi="仿宋_GB2312" w:eastAsia="仿宋_GB2312" w:cs="仿宋_GB2312"/>
          <w:color w:val="auto"/>
          <w:sz w:val="32"/>
          <w:szCs w:val="32"/>
          <w:lang w:val="en-US" w:eastAsia="zh-CN"/>
        </w:rPr>
        <w:t>《建议》提出的指导思想，突出了“十五五”时期经济社会发展的主题、根本动力、根本目的、根本保障。《建议》明确了坚持党的全面领导、坚持人民至上、坚持高质量发展、坚持全面深化改革、坚持有效市场和有为政府相结合、坚持统筹发展和安全等重大原则。《建议》确定的指导思想和“六个坚持”原则，是对改革开放以来特别是新时代经济社会发展经验的科学总结，是我们党不断深化对经济社会发展的规律性认识的重大成果，为“十五五”时期经济社会发展提供了基本遵循。全党要以此来统一思想和行动。</w:t>
      </w:r>
    </w:p>
    <w:p w14:paraId="6807E4B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第四，深刻领会“十五五”时期经济社会发展的重大战略任务。</w:t>
      </w:r>
      <w:r>
        <w:rPr>
          <w:rFonts w:hint="eastAsia" w:ascii="仿宋_GB2312" w:hAnsi="仿宋_GB2312" w:eastAsia="仿宋_GB2312" w:cs="仿宋_GB2312"/>
          <w:color w:val="auto"/>
          <w:sz w:val="32"/>
          <w:szCs w:val="32"/>
          <w:lang w:val="en-US" w:eastAsia="zh-CN"/>
        </w:rPr>
        <w:t>《建议》部署了对推进中国式现代化具有重大牵引、驱动、支撑作用的战略任务，主要包括建设现代化产业体系，加快高水平科技自立自强，建设强大国内市场，加快构建高水平社会主义市场经济体制，扩大高水平对外开放，加快农业农村现代化，优化区域经济布局，繁荣发展社会主义文化，加大保障和改善民生力度，加快经济社会发展全面绿色转型，推进国家安全体系和能力现代化，高质量推进国防和军队现代化等。这些战略任务具有很强的前瞻性、针对性、指导性，全党要深刻领会和把握，切实把这些战略任务的决策意图、目标要求、重大举措、工作重点贯彻落实好。</w:t>
      </w:r>
    </w:p>
    <w:p w14:paraId="48A6282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第五，深刻领会“十五五”时期经济社会发展的根本保证。</w:t>
      </w:r>
      <w:r>
        <w:rPr>
          <w:rFonts w:hint="eastAsia" w:ascii="仿宋_GB2312" w:hAnsi="仿宋_GB2312" w:eastAsia="仿宋_GB2312" w:cs="仿宋_GB2312"/>
          <w:color w:val="auto"/>
          <w:sz w:val="32"/>
          <w:szCs w:val="32"/>
          <w:lang w:val="en-US" w:eastAsia="zh-CN"/>
        </w:rPr>
        <w:t>坚持和加强党的全面领导是推进中国式现代化的根本保证。越是形势复杂多变、任务艰巨繁重，越要坚持好、运用好、发展好党的领导这一最大优势。《建议》突出强调了坚持和加强党中央集中统一领导，提高党领导经济社会发展能力和水平，持续用党的创新理论统一思想、统一意志、统一行动，激发全社会干事创业、创新创造活力。我们要深刻领会和贯彻这些要求，把党的领导贯穿经济社会发展各方面全过程。</w:t>
      </w:r>
    </w:p>
    <w:p w14:paraId="56B27D2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二、认真抓好全会精神贯彻落实</w:t>
      </w:r>
    </w:p>
    <w:p w14:paraId="2BB356E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要以这次全会精神为指导，制定好“十五五”发展规划《纲要》。在贯彻落实全会精神过程中，要着重把握以下几点。</w:t>
      </w:r>
    </w:p>
    <w:p w14:paraId="4C6F112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第一，坚定不移推动高质量发展。</w:t>
      </w:r>
      <w:r>
        <w:rPr>
          <w:rFonts w:hint="eastAsia" w:ascii="仿宋_GB2312" w:hAnsi="仿宋_GB2312" w:eastAsia="仿宋_GB2312" w:cs="仿宋_GB2312"/>
          <w:color w:val="auto"/>
          <w:sz w:val="32"/>
          <w:szCs w:val="32"/>
          <w:lang w:val="en-US" w:eastAsia="zh-CN"/>
        </w:rPr>
        <w:t>推动高质量发展是《建议》确定的“十五五”时期经济社会发展的主题。要以新发展理念引领发展，加快培育新动能，促进经济结构优化升级，做优增量、盘活存量，保持质的有效提升和量的合理增长，推动经济持续健康发展和社会全面进步。坚持把发展经济的着力点放在实体经济上，优化提升传统产业，培育壮大新兴产业和未来产业，促进服务业优质高效发展，构建以先进制造业为骨干的现代化产业体系。进一步全面深化改革，着力破除制约高质量发展的体制机制障碍，努力在重点领域和关键环节取得新突破。发展新质生产力是高质量发展的内在要求。“十五五”时期要把发展新质生产力摆在更加突出的战略位置。坚持教育科技人才一体发展，提升国家创新体系整体效能，大幅提高科技自立自强水平，推动科技创新和产业创新深度融合。当然，不同地区、不同领域要从实际出发，因地制宜发展新质生产力，不能一哄而起。</w:t>
      </w:r>
    </w:p>
    <w:p w14:paraId="0448FB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第二，加快构建新发展格局。</w:t>
      </w:r>
      <w:r>
        <w:rPr>
          <w:rFonts w:hint="eastAsia" w:ascii="仿宋_GB2312" w:hAnsi="仿宋_GB2312" w:eastAsia="仿宋_GB2312" w:cs="仿宋_GB2312"/>
          <w:color w:val="auto"/>
          <w:sz w:val="32"/>
          <w:szCs w:val="32"/>
          <w:lang w:val="en-US" w:eastAsia="zh-CN"/>
        </w:rPr>
        <w:t>做强国内大循环、畅通国内国际双循环，是我们把握发展主动权、塑造国际合作和竞争新优势的战略举措。要坚持扩大内需这个战略基点，坚持惠民生和促消费、投资于物和投资于人紧密结合，促进消费和投资、供给和需求良性互动，不断提升经济循环的质量和层次，增强国内大循环内生动力和可靠性。加快构建全国统一大市场，打通各种卡点堵点，破除地方保护和市场分割，综合整治“内卷式”竞争，畅通资本、数据、技术等要素流动，促进资源要素高效配置。坚定不移扩大高水平对外开放，维护多边贸易体制，巩固传统市场、开辟新兴市场，拓展国际循环，促进国内市场和国际市场高效联通。</w:t>
      </w:r>
    </w:p>
    <w:p w14:paraId="715442F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第三，推动全体人民共同富裕迈出坚实步伐。</w:t>
      </w:r>
      <w:r>
        <w:rPr>
          <w:rFonts w:hint="eastAsia" w:ascii="仿宋_GB2312" w:hAnsi="仿宋_GB2312" w:eastAsia="仿宋_GB2312" w:cs="仿宋_GB2312"/>
          <w:color w:val="auto"/>
          <w:sz w:val="32"/>
          <w:szCs w:val="32"/>
          <w:lang w:val="en-US" w:eastAsia="zh-CN"/>
        </w:rPr>
        <w:t>中国式现代化是全体人民共同富裕的现代化。要坚持不忘初心，站在人民立场上考虑问题，坚持在发展中保障和改善民生，稳步推进共同富裕。优化区域经济布局、促进区域协调发展，促进城乡融合发展、推进乡村全面振兴，逐步缩小区域差距、城乡差别。完善收入分配制度，规范收入分配秩序和财富积累机制，让发展成果更多更公平惠及全体人民。加强普惠性、基础性、兜底性民生建设，稳步推进基本公共服务均等化，更好满足群众在就业、教育、社保、住房、医疗、养老、婚嫁、生育、托幼等方面的需要，不断增强人民群众的获得感幸福感安全感。</w:t>
      </w:r>
    </w:p>
    <w:p w14:paraId="0A9ABE4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第四，更好统筹发展和安全。</w:t>
      </w:r>
      <w:r>
        <w:rPr>
          <w:rFonts w:hint="eastAsia" w:ascii="仿宋_GB2312" w:hAnsi="仿宋_GB2312" w:eastAsia="仿宋_GB2312" w:cs="仿宋_GB2312"/>
          <w:color w:val="auto"/>
          <w:sz w:val="32"/>
          <w:szCs w:val="32"/>
          <w:lang w:val="en-US" w:eastAsia="zh-CN"/>
        </w:rPr>
        <w:t>安全是发展的前提，发展是安全的保障。要深入贯彻总体国家安全观，坚持在发展中固安全、在安全中谋发展。健全国家安全体系，巩固集中统一、高效权威的国家安全领导体制，完善国家安全法治体系、战略体系、政策体系、风险防控体系。把捍卫政治安全摆在首位，加强重点领域国家安全能力建设，突出保障事关国家长治久安、经济健康稳定、人民安居乐业的重大安全。提高公共安全治理水平，完善社会治理体系，有效预防和化解社会矛盾，维护社会和谐稳定。</w:t>
      </w:r>
    </w:p>
    <w:p w14:paraId="4C27750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第五，统筹推进各领域工作。</w:t>
      </w:r>
      <w:r>
        <w:rPr>
          <w:rFonts w:hint="eastAsia" w:ascii="仿宋_GB2312" w:hAnsi="仿宋_GB2312" w:eastAsia="仿宋_GB2312" w:cs="仿宋_GB2312"/>
          <w:color w:val="auto"/>
          <w:sz w:val="32"/>
          <w:szCs w:val="32"/>
          <w:lang w:val="en-US" w:eastAsia="zh-CN"/>
        </w:rPr>
        <w:t>基本实现社会主义现代化，需要各项事业协调发展、整体推进。《建议》按照统筹推进“五位一体”总体布局、协调推进“四个全面”战略布局要求，坚持以经济建设为中心，对政治建设、文化建设、社会建设、生态文明建设和党的建设等作出部署，需要我们在实际工作中全面抓好贯彻落实，不能顾此失彼。各地区各部门要坚持系统观念，自觉在大局下行动，下好全国一盘棋。要善于“弹钢琴”，谋划一域不能忘记整体，立足当前不能无视长远，突出重点不能忽略一般。注重各方面政策协调，保持宏观政策取向一致性，防止和克服本位主义、地方保护主义。</w:t>
      </w:r>
    </w:p>
    <w:p w14:paraId="6895F5F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三、持之以恒推进全面从严治党</w:t>
      </w:r>
    </w:p>
    <w:p w14:paraId="29EA22F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治国必先治党，党兴才能国强。管党治党越有效，经济社会发展的保障就越有力。必须以永远在路上的坚韧和执着，持之以恒推进全面从严治党。</w:t>
      </w:r>
    </w:p>
    <w:p w14:paraId="597176B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第一，坚决把党的自我革命要求落实到位。</w:t>
      </w:r>
      <w:r>
        <w:rPr>
          <w:rFonts w:hint="eastAsia" w:ascii="仿宋_GB2312" w:hAnsi="仿宋_GB2312" w:eastAsia="仿宋_GB2312" w:cs="仿宋_GB2312"/>
          <w:color w:val="auto"/>
          <w:sz w:val="32"/>
          <w:szCs w:val="32"/>
          <w:lang w:val="en-US" w:eastAsia="zh-CN"/>
        </w:rPr>
        <w:t>党的自我革命和经济社会发展是紧密相联、相互促进、相得益彰的。通过党的自我革命，弘扬新风正气、纠治顽瘴痼疾，营造良好政治生态，激励干部担当作为，凝聚民心民力，就能为经济社会发展源源不断注入正能量。要全面贯彻党中央关于党的建设的重要思想、关于党的自我革命的重要思想，持之以恒推进全面从严治党，把推进党的自我革命“五个进一步到位”要求全面一体地落实好。各级党组织要切实担负起管党治党政治责任，着力解决党内存在的突出矛盾和问题，及时清除侵蚀党的健康肌体的病毒。坚决纠正一些党员干部在党的自我革命上的错误观念，决不允许松劲歇脚、畏难退缩、消极应对、刻意抵触等思想和情绪滋长蔓延。</w:t>
      </w:r>
    </w:p>
    <w:p w14:paraId="520BC1C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第二，推进党的作风建设常态化长效化。</w:t>
      </w:r>
      <w:r>
        <w:rPr>
          <w:rFonts w:hint="eastAsia" w:ascii="仿宋_GB2312" w:hAnsi="仿宋_GB2312" w:eastAsia="仿宋_GB2312" w:cs="仿宋_GB2312"/>
          <w:color w:val="auto"/>
          <w:sz w:val="32"/>
          <w:szCs w:val="32"/>
          <w:lang w:val="en-US" w:eastAsia="zh-CN"/>
        </w:rPr>
        <w:t>从抓作风入手推进全面从严治党，是新时代党的自我革命一条重要经验。作风问题具有顽固性、反复性，并且越来越具有隐蔽性，作风建设必须锲而不舍、常抓不懈。要巩固拓展深入贯彻中央八项规定精神学习教育成果，久久为功，化风成俗，切实把严的氛围营造起来、把正的风气树立起来。要强化党性锻炼，提高思想觉悟，提升道德水平，以坚强党性涵养优良作风。对违反中央八项规定精神的人和事、对不正之风露头就速查严处，对反复出现的问题深化整改整治，坚决防止反弹回潮。持续深化拓展整治形式主义为基层减负工作，让广大基层干部有更多精力抓落实。领导干部要严于律己、严负其责、严管所辖，以一身正气树标杆、作表率，把推动党的作风建设常态化长效化的要求落到实处。</w:t>
      </w:r>
    </w:p>
    <w:p w14:paraId="7959829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第三，坚定不移开展反腐败斗争。</w:t>
      </w:r>
      <w:r>
        <w:rPr>
          <w:rFonts w:hint="eastAsia" w:ascii="仿宋_GB2312" w:hAnsi="仿宋_GB2312" w:eastAsia="仿宋_GB2312" w:cs="仿宋_GB2312"/>
          <w:color w:val="auto"/>
          <w:sz w:val="32"/>
          <w:szCs w:val="32"/>
          <w:lang w:val="en-US" w:eastAsia="zh-CN"/>
        </w:rPr>
        <w:t>腐败是我们党面临的最大威胁，反腐败是最彻底的自我革命。全会期间，通报了近期查处的腐败案件。“沉舟侧畔千帆过，病树前头万木春”。坚决查处这些案件，体现了我们党推进自我革命、全面从严治党的坚定决心和信心。这些案件再次警示我们，反腐败形势仍然严峻复杂，大家头脑要异常清醒，必须保持反腐败永远在路上的政治坚定，坚持越往后越严不动摇。要始终保持反腐败高压态势，依法依规查处腐败案件，从严惩处腐败分子，做到一步不停歇、半步不退让，决不能让腐败分子有任何藏身之地，任何人都不要心存侥幸、抱有幻想。要举一反三，健全制度机制，在铲除腐败问题产生的土壤和条件上持续发力、纵深推进。要以领导机关、领导干部特别是“一把手”、关键岗位领导干部为重点对象，紧盯重大政策制定、重大工程审批、大额资金安排、干部选拔任用等重要事项，健全授权用权制权相统一、清晰透明可追溯的制度机制，并强化监督，确保人民赋予的权力始终用来为人民谋利益，严防任性用权、以权谋私。要利用这些腐败案例开展警示教育，让广大党员干部受到震慑，守住底线，远离高压线，不再重蹈覆辙。要持续加强理想信念教育，让广大党员干部始终牢记和自觉践行党的初心使命，确保红色江山永不变色。</w:t>
      </w:r>
    </w:p>
    <w:p w14:paraId="2A90BD9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65BC8B9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这是习近平总书记2025年10月23日在党的二十届四中全会第二次全体会议上讲话的一部分。</w:t>
      </w:r>
    </w:p>
    <w:p w14:paraId="6DC94B8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4BE53DE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60FD490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68E00DC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5D95D57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5302FA2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622DC87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7C6293D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2870601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375F9EC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167520A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360DCB0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5AE0371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习近平致科技日报创刊40周年的贺信</w:t>
      </w:r>
    </w:p>
    <w:p w14:paraId="6F44C7F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24ADAEA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值此科技日报创刊40周年之际，向报社全体同志表示祝贺！</w:t>
      </w:r>
    </w:p>
    <w:p w14:paraId="7725C2A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40年来，科技日报围绕党和国家中心工作，在宣传党的创新理论、解读科技政策、报道科技成就、普及科学知识等方面发挥了积极作用。新起点上，希望你们深入学习贯彻新时代中国特色社会主义思想，坚持正确政治方向，创新载体方式，弘扬科学家精神，努力讲好中国科技创新故事，反映科技工作者心声，为实现高水平科技自立自强、建设科技强国凝聚更多智慧和力量。</w:t>
      </w:r>
    </w:p>
    <w:p w14:paraId="4D66F0E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习近平</w:t>
      </w:r>
    </w:p>
    <w:p w14:paraId="20CE252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2026年1月1日</w:t>
      </w:r>
    </w:p>
    <w:p w14:paraId="6DAA3B9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color w:val="auto"/>
          <w:sz w:val="32"/>
          <w:szCs w:val="32"/>
          <w:lang w:val="en-US" w:eastAsia="zh-CN"/>
        </w:rPr>
      </w:pPr>
    </w:p>
    <w:p w14:paraId="6FB8F8E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color w:val="auto"/>
          <w:sz w:val="32"/>
          <w:szCs w:val="32"/>
          <w:lang w:val="en-US" w:eastAsia="zh-CN"/>
        </w:rPr>
      </w:pPr>
    </w:p>
    <w:p w14:paraId="08B2C0B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color w:val="auto"/>
          <w:sz w:val="32"/>
          <w:szCs w:val="32"/>
          <w:lang w:val="en-US" w:eastAsia="zh-CN"/>
        </w:rPr>
      </w:pPr>
    </w:p>
    <w:p w14:paraId="3597AB3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color w:val="auto"/>
          <w:sz w:val="32"/>
          <w:szCs w:val="32"/>
          <w:lang w:val="en-US" w:eastAsia="zh-CN"/>
        </w:rPr>
      </w:pPr>
    </w:p>
    <w:p w14:paraId="5021B46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color w:val="auto"/>
          <w:sz w:val="32"/>
          <w:szCs w:val="32"/>
          <w:lang w:val="en-US" w:eastAsia="zh-CN"/>
        </w:rPr>
      </w:pPr>
    </w:p>
    <w:p w14:paraId="22ADFF1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color w:val="auto"/>
          <w:sz w:val="32"/>
          <w:szCs w:val="32"/>
          <w:lang w:val="en-US" w:eastAsia="zh-CN"/>
        </w:rPr>
      </w:pPr>
    </w:p>
    <w:p w14:paraId="52D8827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color w:val="auto"/>
          <w:sz w:val="32"/>
          <w:szCs w:val="32"/>
          <w:lang w:val="en-US" w:eastAsia="zh-CN"/>
        </w:rPr>
      </w:pPr>
    </w:p>
    <w:p w14:paraId="61E68B3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color w:val="auto"/>
          <w:sz w:val="32"/>
          <w:szCs w:val="32"/>
          <w:lang w:val="en-US" w:eastAsia="zh-CN"/>
        </w:rPr>
      </w:pPr>
    </w:p>
    <w:p w14:paraId="44FFFE1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color w:val="auto"/>
          <w:sz w:val="32"/>
          <w:szCs w:val="32"/>
          <w:lang w:val="en-US" w:eastAsia="zh-CN"/>
        </w:rPr>
      </w:pPr>
    </w:p>
    <w:p w14:paraId="282A9FD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color w:val="auto"/>
          <w:sz w:val="32"/>
          <w:szCs w:val="32"/>
          <w:lang w:val="en-US" w:eastAsia="zh-CN"/>
        </w:rPr>
      </w:pPr>
    </w:p>
    <w:p w14:paraId="62B4E7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color w:val="auto"/>
          <w:sz w:val="32"/>
          <w:szCs w:val="32"/>
          <w:lang w:val="en-US" w:eastAsia="zh-CN"/>
        </w:rPr>
      </w:pPr>
    </w:p>
    <w:p w14:paraId="3E94738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习近平在二十届中央纪委五次全会上发表重要讲话强调 以更高标准更实举措推进全面从严治党 为实现“十五五”时期目标任务提供坚强保障</w:t>
      </w:r>
    </w:p>
    <w:p w14:paraId="48A2834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14:paraId="366B20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共中央总书记、国家主席、中央军委主席习近平1月12日上午在中国共产党第二十届中央纪律检查委员会第五次全体会议上发表重要讲话。他强调，要坚持和加强党的全面领导，以更高标准、更实举措推进全面从严治党，更加坚决有力地贯彻落实党中央重大决策部署，更加科学有效地把权力关进制度笼子，更加清醒坚定地推进反腐败斗争，为实现“十五五”时期目标任务提供坚强保障。</w:t>
      </w:r>
    </w:p>
    <w:p w14:paraId="30B948C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中共中央政治局常委李强、赵乐际、王沪宁、蔡奇、丁薛祥出席会议。中共中央政治局常委、中央纪律检查委员会书记李希主持会议。</w:t>
      </w:r>
    </w:p>
    <w:p w14:paraId="2E98BE3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习近平指出，2025年，党中央深入推进党风廉政建设和反腐败斗争，取得显著成效。强化政治监督，深化政治巡视，有力保障党中央重大决策部署贯彻落实；扎实开展深入贯彻中央八项规定精神学习教育，推动全党进一步改作风树新风；保持反腐败高压态势，推进风腐同查同治，深化整治群众身边不正之风和腐败问题，着力铲除腐败滋生的土壤和条件。</w:t>
      </w:r>
    </w:p>
    <w:p w14:paraId="3A9F445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习近平强调，贯彻落实党中央重大决策部署，是维护党中央权威和集中统一领导的根本要求，也是党和人民事业不断发展进步的重要历史经验。“十五五”时期是基本实现社会主义现代化夯实基础、全面发力的关键时期，各级党组织和广大党员、干部要增强政治责任感、历史使命感，以实际行动贯彻落实好党的二十届四中全会各项决策部署。要紧紧围绕贯彻新发展理念、推动高质量发展、加快构建新发展格局，聚焦建设现代化产业体系、因地制宜发展新质生产力、建设全国统一大市场、扩大高水平对外开放、扎实推进全体人民共同富裕、常态化防止返贫致贫、化解地方政府隐性债务、加强生态环境保护、统筹发展和安全等任务要求，加强具体化、精准化、常态化的监督检查，用好巡视成果、强化整改监督，保障党中央重大决策部署落到实处。各地区各部门要结合实际，认真探索贯彻落实党中央重大决策部署的有效方法和途径。今年地方将开始换届，要把真正忠诚可靠、表里如一、担当尽责的好干部用起来。</w:t>
      </w:r>
    </w:p>
    <w:p w14:paraId="7B7D852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习近平指出，党的自我革命重在治权，把权力关进制度笼子是新时代全面从严治党的一项重要任务。党的十八大后，党中央以制定实施中央八项规定开局破题，立铁规矩、强硬约束，推动党风政风焕然一新。把权力关进制度笼子，既要不断完善制度规定，使制度密而不繁、有效管用，又要着力提高制度执行力，增强刚性约束。要坚持法规制度面前人人平等、遵守法规制度没有特权、执行法规制度没有例外，确保制度规定真正成为带电的高压线。“一把手”要带头执行制度。要加强法规制度宣传教育，引导党员、干部懂法纪、明规矩、知敬畏。要进一步提高党务、政务的透明度，让权力在阳光下运行。</w:t>
      </w:r>
    </w:p>
    <w:p w14:paraId="067E7BF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习近平强调，腐败是党和国家事业发展进程中的拦路虎、绊脚石，反腐败是一场输不起也决不能输的重大斗争。党的十八大以来，我们党成功走出一条在党中央集中统一领导下，标本兼治、一体推进不敢腐不能腐不想腐的中国特色反腐败之路，要坚定走下去。当前，反腐败斗争形势仍然严峻复杂，铲除腐败滋生土壤和条件任务仍然艰巨繁重。要保持高压态势不动摇，有腐必反、有贪必肃、除恶务尽，让腐败分子没有藏身之地。要把握腐败的新动向新特点，创新手段方式，完善反腐败责任落实机制，及时发现、准确识别、有效治理各类腐败问题，不断提高反腐败穿透力。要在一体推进上下更大功夫，强化系统观念，加强联动配合，把各方面监督贯通起来，以全链条协作促进一体化治理。</w:t>
      </w:r>
    </w:p>
    <w:p w14:paraId="7432237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习近平指出，纪检监察机关在推进党的自我革命、全面从严治党中责任重大、使命光荣，要坚定维护党的团结统一，坚定捍卫党的先进性纯洁性。要持续加强纪检监察工作规范化法治化正规化建设，不断提高监督执纪执法质效。要按照政治过硬、能力过硬、作风过硬、廉洁过硬的要求，着力锻造忠诚干净担当、敢于善于斗争的纪检监察铁军。</w:t>
      </w:r>
    </w:p>
    <w:p w14:paraId="2A7367A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李希在主持会议时指出，习近平总书记的重要讲话，充分肯定过去一年全面从严治党取得的显著成效，着眼基本实现社会主义现代化关键时期，对以更高标准、更实举措推进全面从严治党，为实现“十五五”时期目标任务提供坚强保障作出战略部署。讲话高屋建瓴、视野宏阔、思想深邃、内涵丰富，为深入推进全面从严治党和反腐败斗争提供了根本遵循。要深入学习贯彻习近平总书记重要讲话精神，深刻领悟“两个确立”的决定性意义，增强“四个意识”、坚定“四个自信”、做到“两个维护”，认真履行全面从严治党政治责任，以永远在路上的坚韧和执着，坚定不移把党的自我革命向纵深推进。</w:t>
      </w:r>
    </w:p>
    <w:p w14:paraId="1C4BCB3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中共中央政治局委员、中央书记处书记，中央军委副主席，全国人大常委会有关领导同志，国务委员，最高人民法院院长，最高人民检察院检察长，全国政协有关领导同志以及中央军委委员出席会议。</w:t>
      </w:r>
    </w:p>
    <w:p w14:paraId="58E4BB9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中央纪律检查委员会委员，中央和国家机关各部门、各人民团体、军队有关单位主要负责同志等参加会议。会议以电视电话会议形式举行，各省、自治区、直辖市和新疆生产建设兵团以及军队有关单位设分会场。</w:t>
      </w:r>
    </w:p>
    <w:p w14:paraId="6E11E2E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国共产党第二十届中央纪律检查委员会第五次全体会议于1月12日在北京开幕。中央纪律检查委员会常务委员会主持会议。12日下午李希代表中央纪律检查委员会常务委员会作题为《以更高标准、更实举措推进全面从严治党，为实现“十五五”时期目标任务提供坚强保障》的工作报告。</w:t>
      </w:r>
    </w:p>
    <w:p w14:paraId="705720B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7A03301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0500D64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7D5680E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14991B3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57D7170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5AEE468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在中央城市工作会议上的讲话</w:t>
      </w:r>
    </w:p>
    <w:p w14:paraId="71783FAA">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（2025年7月14日）</w:t>
      </w:r>
    </w:p>
    <w:p w14:paraId="4D1C1822">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习近平</w:t>
      </w:r>
    </w:p>
    <w:p w14:paraId="31D3E30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时隔10年，党中央再次召开城市工作会议，主要是总结新时代以来我国城市发展成就，分析城市工作面临的形势，对当前和今后一个时期城市工作作出部署。</w:t>
      </w:r>
    </w:p>
    <w:p w14:paraId="7CC7D92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党的十八大以来，党中央深刻把握新形势下我国城市发展规律，坚持党对城市工作的全面领导，坚持人民城市人民建、人民城市为人民，坚持把城市作为有机生命体系统谋划，推动城市发展取得历史性成就。一是新型城镇化水平和城市发展能级大幅提升。城镇化率稳步提高，城市群和都市圈发展壮大，有力带动了经济社会发展和人民生活改善。雄安新区拔地而起。我国城市综合实力持续增强。二是城市规划建设治理水平大幅提升。“多规合一”改革纵深推进，城市治理效能不断增强，盲目扩张“摊大饼”问题有效遏制，“大城市病”明显缓解。三是城市宜业宜居水平大幅提升。城市基础设施迭代升级，公共服务功能逐步完善，安全韧性水平整体提高，建成世界规模最大的城市住房保障体系。四是城市历史文化保护传承水平大幅提升。有力扭转历史文化遗产屡遭破坏的状况，城市文化品位和底蕴特色进一步彰显，城市文明程度持续提高。五是城市生态环境质量大幅提升。空气质量显著改善，重污染天数明显减少，绿地、公园面积持续增加，城市天更蓝、水更清、环境更优美。这些成就值得充分肯定。</w:t>
      </w:r>
    </w:p>
    <w:p w14:paraId="17F124E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同时，我国城市发展也面临一些新情况新问题：城市老龄化少子化、区域人口增减分化特征明显，人口结构快速变化；“土地财政”难以为继；城市部分房屋和基础设施老化，安全稳定风险增多，治理难度加大。总的看，我国城镇化正从快速增长期转向稳定发展期，城市发展正从大规模增量扩张阶段转向存量提质增效为主的阶段。对这些重大变化，要深刻把握、主动适应。</w:t>
      </w:r>
    </w:p>
    <w:p w14:paraId="6EEBF63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当前和今后一个时期城市工作的总体要求是：以新时代中国特色社会主义思想为指导，深入贯彻党的二十大和二十届二中、三中全会精神，坚持和加强党的全面领导，认真践行人民城市理念，坚持稳中求进工作总基调，坚持因地制宜、分类指导，以建设创新、宜居、美丽、韧性、文明、智慧的现代化人民城市为目标，以推动城市高质量发展为主题，以坚持城市内涵式发展为主线，以推进城市更新为重要抓手，大力推动城市结构优化、动能转换、品质提升、绿色转型、文脉赓续、治理增效，牢牢守住城市安全底线，走出一条中国特色城市现代化新路子。</w:t>
      </w:r>
    </w:p>
    <w:p w14:paraId="78DF887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落实这一总体要求，关键在于坚持城市内涵式发展，切实把握好几个重要原则。一是转变城市发展理念，更加注重以人为本。把实现人民群众对美好生活向往作为城市工作的出发点和落脚点，努力建设现代化人民城市，扎实推进全体人民共同富裕，促进人的全面发展。二是转变城市发展方式，更加注重集约高效。优化城市功能结构和空间布局，提升资源和空间集约节约利用水平，实现绿色低碳智慧发展。三是转变城市发展动力，更加注重特色发展。根据各自资源禀赋，加强科技和文化赋能，打造核心竞争力，实现错位发展，不搞同质化竞争。四是转变城市工作重心，更加注重治理投入。打破“重建设、轻治理”的传统思维和习惯做法，推动城市高质量更新、高水平运营、高效能治理。五是转变城市工作方法，更加注重统筹协调。系统谋划生产、生活、生态、文化、安全等各方面工作，加强跨部门跨层级跨区域协调联动，使政府、市场、社会、市民更好形成合力。</w:t>
      </w:r>
    </w:p>
    <w:p w14:paraId="7ADB2C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关于城市工作的重点任务，我在2015年的中央城市工作会议上讲了“一个尊重、五个统筹”，这些都要继续抓好落实。下面，我再强调几个问题。</w:t>
      </w:r>
    </w:p>
    <w:p w14:paraId="1400852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第一，着力优化现代化城市体系。</w:t>
      </w:r>
      <w:r>
        <w:rPr>
          <w:rFonts w:hint="eastAsia" w:ascii="仿宋_GB2312" w:hAnsi="仿宋_GB2312" w:eastAsia="仿宋_GB2312" w:cs="仿宋_GB2312"/>
          <w:color w:val="auto"/>
          <w:sz w:val="32"/>
          <w:szCs w:val="32"/>
          <w:lang w:val="en-US" w:eastAsia="zh-CN"/>
        </w:rPr>
        <w:t>优化现代化城市体系，首先要着眼于提高城市对人口和经济社会发展的综合承载能力，发展组团式、网络化的现代化城市群和都市圈。把京津冀、长三角、粤港澳大湾区城市群打造成世界级城市群，推动成渝、长江中游城市群等成为高质量发展增长极，增强中西部和东北的城市群、都市圈对区域协调发展的支撑作用。城市群内，要加强产业链协作，构建跨行政区合作发展新机制；城市群之间，要优化产业分工和空间联系。对于都市圈，有条件的地方可以推进同城化发展，促进通勤便捷高效、产业梯次配套、公共服务便利共享。</w:t>
      </w:r>
    </w:p>
    <w:p w14:paraId="2C22BB6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优化现代化城市体系，必须促进大中小城市和小城镇协调发展。要推动超大特大城市“强身健体”，做强做精核心功能，控制超大城市规模，合理有序疏解非核心功能，打造高质量发展主引擎。要分类推进以县城为重要载体的城镇化建设，统筹规划建设城乡基础设施和公共服务体系，促进城乡融合发展。对经济规模大、人口增长快的县级市和特大镇，适时调整扩大经济社会管理权限。对人口持续流出的城市和资源型城市，持续推动转型发展。要继续推进农业转移人口市民化，努力推动城镇基本公共服务覆盖全部常住人口。推进城镇化是一个循序渐进、水到渠成的过程，必须符合经济社会发展规律，保持历史耐心，不能脱离实际、急于求成。</w:t>
      </w:r>
    </w:p>
    <w:p w14:paraId="3AB48B5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第二，着力建设富有活力的创新城市。</w:t>
      </w:r>
      <w:r>
        <w:rPr>
          <w:rFonts w:hint="eastAsia" w:ascii="仿宋_GB2312" w:hAnsi="仿宋_GB2312" w:eastAsia="仿宋_GB2312" w:cs="仿宋_GB2312"/>
          <w:color w:val="auto"/>
          <w:sz w:val="32"/>
          <w:szCs w:val="32"/>
          <w:lang w:val="en-US" w:eastAsia="zh-CN"/>
        </w:rPr>
        <w:t>推动城市高质量发展，必须把创新作为第一动力。要坚持因城施策，立足城市资源禀赋和基础条件，精心培育创新生态，激发创新创业活力。加强原始创新和关键核心技术攻关，强化科技创新与产业创新协同，统筹推进传统产业改造升级、新兴产业培育壮大、未来产业布局建设，在发展新质生产力上不断取得突破。</w:t>
      </w:r>
    </w:p>
    <w:p w14:paraId="5F561FE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过去城市增量扩张时期形成的政策制度，很多已不适应形势发展需要，要以改革的思路调整优化。要高质量开展城市更新，推进土地混合开发利用、用途合理转换，有效推动城市低效土地再开发，推动各类产业园区改造提升。要创新财政金融政策工具，吸引和规范社会资金参与，稳慎推进公用事业价格改革，建立可持续的城市建设运营投融资体系。健全地方债务管理长效机制、防范化解地方政府隐性债务风险等工作，中央已有明确部署，要认真抓好落实。</w:t>
      </w:r>
    </w:p>
    <w:p w14:paraId="70599DB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要充分发挥城市在国内国际双循环中的枢纽作用，不断提升开放合作水平。部分超大特大城市要增强对全球高端生产要素的配置能力。要结合高质量共建“一带一路”，建设一批国际门户枢纽城市和区域性开放节点城市。要完善海外引进人才支持保障机制，提升入境游便利化国际化水平，增强城市国际交往功能。</w:t>
      </w:r>
    </w:p>
    <w:p w14:paraId="79F56AB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第三，着力建设舒适便利的宜居城市。</w:t>
      </w:r>
      <w:r>
        <w:rPr>
          <w:rFonts w:hint="eastAsia" w:ascii="仿宋_GB2312" w:hAnsi="仿宋_GB2312" w:eastAsia="仿宋_GB2312" w:cs="仿宋_GB2312"/>
          <w:color w:val="auto"/>
          <w:sz w:val="32"/>
          <w:szCs w:val="32"/>
          <w:lang w:val="en-US" w:eastAsia="zh-CN"/>
        </w:rPr>
        <w:t>宜居是践行人民城市理念的基本要求。要坚持人口、产业、城镇、交通一体规划，建设创新型产业社区、商务社区，逐步破除传统的产业、居住、商业等功能分隔模式。高效利用城市地下空间，着力优化城市空间结构。完善通勤、换乘交通设施系统，加强停车位、充电桩等便民设施建设，形成现代化综合交通运输体系。</w:t>
      </w:r>
    </w:p>
    <w:p w14:paraId="4298404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住房品质关乎千家万户的幸福感。要加快构建房地产发展新模式，多为广大市民建设安全、舒适、绿色、智慧的“好房子”，更好满足群众刚性和多样化改善性住房需求，稳步推进城中村和危旧房改造。要集约节约利用资源，加强监管，决不允许违法违规建设豪华别墅、“私家庄园”。</w:t>
      </w:r>
    </w:p>
    <w:p w14:paraId="5DE61A6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能否提供优质的公共服务，是衡量城市宜居程度的一个重要指标。要适应人口和需求结构变化，大力发展健康、家政等生活性服务业，完善城市商业布局。要高度关注“一老一小”，健全养老服务体系，发展托幼一体服务，提高婚育水平。要加强教育资源前瞻性布局。要实施医疗卫生强基工程，加强紧密型医联体建设，保障基层医疗机构运行，让优质医疗卫生资源更加贴近群众。要加强社会保障和分层分类社会救助，牢牢兜住民生底线。</w:t>
      </w:r>
    </w:p>
    <w:p w14:paraId="0B0DA0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第四，着力建设绿色低碳的美丽城市。</w:t>
      </w:r>
      <w:r>
        <w:rPr>
          <w:rFonts w:hint="eastAsia" w:ascii="仿宋_GB2312" w:hAnsi="仿宋_GB2312" w:eastAsia="仿宋_GB2312" w:cs="仿宋_GB2312"/>
          <w:color w:val="auto"/>
          <w:sz w:val="32"/>
          <w:szCs w:val="32"/>
          <w:lang w:val="en-US" w:eastAsia="zh-CN"/>
        </w:rPr>
        <w:t>这些年，我们坚持打好蓝天、碧水、净土保卫战，大气、水、土壤污染治理取得明显成效。同时，城市噪声污染、餐饮油烟、建筑垃圾私拉乱倒等问题仍然比较突出。要巩固已有成效，抓紧治理新的问题。特别是在推进城市空气治理提质工程、加强饮用水源地保护、加强抗生素和微塑料等新污染物治理等方面，要采取更主动、更有效的措施。</w:t>
      </w:r>
    </w:p>
    <w:p w14:paraId="3117F35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城市生态是一个有机整体，降碳减污扩绿协同增效至关重要。要推进能源、管网、交通等基础设施绿色低碳改造，大力发展绿色产业、绿色建筑、绿色交通、绿色消费、绿色社区，积极开展低碳城市建设。垃圾分类、“光盘行动”等要持续推进，不能紧一阵松一阵。要以自然为美，保持山水脉络和自然风貌，保护城市河湖水系、湿地和水环境，合理打造生态公园等城市景观。要提升城市生物多样性。</w:t>
      </w:r>
    </w:p>
    <w:p w14:paraId="0D2F655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第五，着力建设安全可靠的韧性城市。</w:t>
      </w:r>
      <w:r>
        <w:rPr>
          <w:rFonts w:hint="eastAsia" w:ascii="仿宋_GB2312" w:hAnsi="仿宋_GB2312" w:eastAsia="仿宋_GB2312" w:cs="仿宋_GB2312"/>
          <w:color w:val="auto"/>
          <w:sz w:val="32"/>
          <w:szCs w:val="32"/>
          <w:lang w:val="en-US" w:eastAsia="zh-CN"/>
        </w:rPr>
        <w:t>城市人口、资源、经济社会活动高度密集，安全风险也相对集中，必须树牢安全发展理念，不断提高安全韧性水平。要推进城市基础设施生命线安全工程建设，加快老旧管线改造升级，推动地下综合管廊建设改造，构建多水源保障和分布式能源系统。强化城市自然灾害防治，统筹城市防洪体系和内涝治理。要严格限制超高层建筑，增强高空消防能力，全面提升房屋安全保障水平。要加强“平急两用”公共基础设施建设，构建总量充足、布局合理的应急避难场所体系。</w:t>
      </w:r>
    </w:p>
    <w:p w14:paraId="33A841C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提高城市管理“软件”韧性同样很重要。要把风险防控有机嵌入城市管理系统，构建城市安全风险谱系，健全常态化风险隐患监测预警、排查整治机制。要科学制定巨灾应急预案，加强应急指挥、处置和救援体系建设。</w:t>
      </w:r>
    </w:p>
    <w:p w14:paraId="11795B9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第六，着力建设崇德向善的文明城市。</w:t>
      </w:r>
      <w:r>
        <w:rPr>
          <w:rFonts w:hint="eastAsia" w:ascii="仿宋_GB2312" w:hAnsi="仿宋_GB2312" w:eastAsia="仿宋_GB2312" w:cs="仿宋_GB2312"/>
          <w:color w:val="auto"/>
          <w:sz w:val="32"/>
          <w:szCs w:val="32"/>
          <w:lang w:val="en-US" w:eastAsia="zh-CN"/>
        </w:rPr>
        <w:t>现代化人民城市应当是物质文明和精神文明相协调的城市，建设过程中要植根中华优秀传统文化，彰显中国气质、中国风范。要强化城市规划的管控和引导作用，做到功能复合、密度适中、高低错落、蓝绿交织。要完善历史文化保护传承体系，重视保护城市独特的历史文脉、人文地理、自然景观。完善城市风貌管理制度，提升审美品位。像大规模迁移砍伐树木、滥建文化地标、随意更改老地名那样的事，决不能再干了。建筑是城市最直观的“面孔”，要加强建筑设计管理，让我国城市建筑更加体现中华美学和时代风尚。</w:t>
      </w:r>
    </w:p>
    <w:p w14:paraId="7CAD2CE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要重视城市文化软实力建设，积极培育城市文明，塑造城市精神。大力弘扬社会主义核心价值观，坚持不懈以文润心、以文化人，推动形成与现代化人民城市相适应的思想观念、文明风尚、行为规范，提高市民文明素质。积极发展文化事业、文化产业，推动文旅深度融合。</w:t>
      </w:r>
    </w:p>
    <w:p w14:paraId="00FE34B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第七，着力建设便捷高效的智慧城市。</w:t>
      </w:r>
      <w:r>
        <w:rPr>
          <w:rFonts w:hint="eastAsia" w:ascii="仿宋_GB2312" w:hAnsi="仿宋_GB2312" w:eastAsia="仿宋_GB2312" w:cs="仿宋_GB2312"/>
          <w:color w:val="auto"/>
          <w:sz w:val="32"/>
          <w:szCs w:val="32"/>
          <w:lang w:val="en-US" w:eastAsia="zh-CN"/>
        </w:rPr>
        <w:t>城市发展既要抓好建设又要抓好治理，要坚持以城市居民需求为导向，顺应数智化趋势，创新治理理念、模式、手段，强化科技支撑，不断提升城市治理智慧化精细化水平。</w:t>
      </w:r>
    </w:p>
    <w:p w14:paraId="1D6B5F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这些年，我们在城市治理上倡导下“绣花功夫”，积累了不少经验，要坚持和运用好。要坚持党建引领，加强新兴领域党建工作，做好新就业群体服务管理。调动人民群众参与城市治理的积极性、主动性、创造性。突出抓基层、强基础、固根本，推动城市治理重心和配套资源下沉。坚持和发展新时代“枫桥经验”，用好市民服务热线等机制，高效解决群众急难愁盼问题。坚持依法治市，不断提高城市治理法治化水平。</w:t>
      </w:r>
    </w:p>
    <w:p w14:paraId="4AA1B2C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设现代化人民城市，必须加强党对城市工作的全面领导。要进一步健全领导体制和工作机制，增强城市政策协同性，强化各方面执行力。树立和践行正确政绩观，建立健全科学的城市发展评价体系，激励广大党员、干部干事创业、担当作为。加强城市工作干部队伍素质和能力建设，着力培养城市规划、建设、治理等各类专业人才。坚持实事求是、求真务实，坚决反对形式主义、官僚主义。</w:t>
      </w:r>
    </w:p>
    <w:p w14:paraId="5CDB402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同志们！做好新时代新征程的城市工作，使命光荣、责任重大。希望大家勇于担当、奋发进取，在推动城市高质量发展、建设现代化人民城市上不断取得新成效，为以中国式现代化全面推进强国建设、民族复兴伟业作出新贡献！</w:t>
      </w: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BD826">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C23D6">
                          <w:pPr>
                            <w:pStyle w:val="6"/>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4DC23D6">
                    <w:pPr>
                      <w:pStyle w:val="6"/>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8EF2F">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3B33A2"/>
    <w:multiLevelType w:val="multilevel"/>
    <w:tmpl w:val="363B33A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1NGZmYjAwODdlNzk5YTE2ZDZlZDgxNWM4OGVlZmQifQ=="/>
  </w:docVars>
  <w:rsids>
    <w:rsidRoot w:val="00C63BE6"/>
    <w:rsid w:val="00004DEB"/>
    <w:rsid w:val="002153DD"/>
    <w:rsid w:val="00252FE3"/>
    <w:rsid w:val="002C0A82"/>
    <w:rsid w:val="00383A8E"/>
    <w:rsid w:val="004742E7"/>
    <w:rsid w:val="00474E39"/>
    <w:rsid w:val="00572FAE"/>
    <w:rsid w:val="00577133"/>
    <w:rsid w:val="006C1B7C"/>
    <w:rsid w:val="00884742"/>
    <w:rsid w:val="008B0155"/>
    <w:rsid w:val="00957CA6"/>
    <w:rsid w:val="00987770"/>
    <w:rsid w:val="00B0511C"/>
    <w:rsid w:val="00C63BE6"/>
    <w:rsid w:val="00C63E79"/>
    <w:rsid w:val="00C7227E"/>
    <w:rsid w:val="00D020F6"/>
    <w:rsid w:val="00E7604E"/>
    <w:rsid w:val="00F56AD1"/>
    <w:rsid w:val="011F2617"/>
    <w:rsid w:val="020815C2"/>
    <w:rsid w:val="02867E41"/>
    <w:rsid w:val="03031491"/>
    <w:rsid w:val="03031E75"/>
    <w:rsid w:val="0383205A"/>
    <w:rsid w:val="044B0EB6"/>
    <w:rsid w:val="04952178"/>
    <w:rsid w:val="04B27882"/>
    <w:rsid w:val="04D875D4"/>
    <w:rsid w:val="05085485"/>
    <w:rsid w:val="061C31D4"/>
    <w:rsid w:val="06514C09"/>
    <w:rsid w:val="07185E70"/>
    <w:rsid w:val="074D4B8A"/>
    <w:rsid w:val="0768146A"/>
    <w:rsid w:val="0771104F"/>
    <w:rsid w:val="08154EC9"/>
    <w:rsid w:val="084B186C"/>
    <w:rsid w:val="08BA6325"/>
    <w:rsid w:val="08E815B7"/>
    <w:rsid w:val="09FE6E56"/>
    <w:rsid w:val="0A2D5046"/>
    <w:rsid w:val="0AFC58C1"/>
    <w:rsid w:val="0B57540A"/>
    <w:rsid w:val="0B7D0400"/>
    <w:rsid w:val="0BE32EEA"/>
    <w:rsid w:val="0C0F66CB"/>
    <w:rsid w:val="0D6F3E27"/>
    <w:rsid w:val="0D987650"/>
    <w:rsid w:val="0DB74FFE"/>
    <w:rsid w:val="0DCE6B40"/>
    <w:rsid w:val="0E1A44DD"/>
    <w:rsid w:val="0F42154E"/>
    <w:rsid w:val="0F5371D2"/>
    <w:rsid w:val="102918FB"/>
    <w:rsid w:val="105B6F8A"/>
    <w:rsid w:val="10D51477"/>
    <w:rsid w:val="11AA1E77"/>
    <w:rsid w:val="11B22AD8"/>
    <w:rsid w:val="11EF075E"/>
    <w:rsid w:val="13A062E5"/>
    <w:rsid w:val="13D754E4"/>
    <w:rsid w:val="14323D3C"/>
    <w:rsid w:val="14712E9C"/>
    <w:rsid w:val="147C11CB"/>
    <w:rsid w:val="149914ED"/>
    <w:rsid w:val="14B65547"/>
    <w:rsid w:val="14EC1212"/>
    <w:rsid w:val="15A144A6"/>
    <w:rsid w:val="15C46400"/>
    <w:rsid w:val="15F372C8"/>
    <w:rsid w:val="169B0AD0"/>
    <w:rsid w:val="182B1DF7"/>
    <w:rsid w:val="188B7ABB"/>
    <w:rsid w:val="1A8C6258"/>
    <w:rsid w:val="1B2E4481"/>
    <w:rsid w:val="1C08690F"/>
    <w:rsid w:val="1C6D40EC"/>
    <w:rsid w:val="1C9110EF"/>
    <w:rsid w:val="1CF5235C"/>
    <w:rsid w:val="1DEF6857"/>
    <w:rsid w:val="1DF4479B"/>
    <w:rsid w:val="1EA00A73"/>
    <w:rsid w:val="1F1E30AE"/>
    <w:rsid w:val="1F8D7FA0"/>
    <w:rsid w:val="20B52C97"/>
    <w:rsid w:val="2223559A"/>
    <w:rsid w:val="24727DCD"/>
    <w:rsid w:val="24FE7EC9"/>
    <w:rsid w:val="25BE6B0C"/>
    <w:rsid w:val="26F55D4A"/>
    <w:rsid w:val="27A52CD3"/>
    <w:rsid w:val="28DC5964"/>
    <w:rsid w:val="29653B65"/>
    <w:rsid w:val="29E740EA"/>
    <w:rsid w:val="2A667EDB"/>
    <w:rsid w:val="2C092571"/>
    <w:rsid w:val="2C2D7201"/>
    <w:rsid w:val="2C390BAE"/>
    <w:rsid w:val="2CAA1BC5"/>
    <w:rsid w:val="2F327E33"/>
    <w:rsid w:val="2FC306DF"/>
    <w:rsid w:val="30072CE3"/>
    <w:rsid w:val="30977951"/>
    <w:rsid w:val="31D4507B"/>
    <w:rsid w:val="31E87A7F"/>
    <w:rsid w:val="32282052"/>
    <w:rsid w:val="32C37A45"/>
    <w:rsid w:val="335C246D"/>
    <w:rsid w:val="33B414CA"/>
    <w:rsid w:val="33EF4EEF"/>
    <w:rsid w:val="361A2595"/>
    <w:rsid w:val="37D05DAA"/>
    <w:rsid w:val="3829475E"/>
    <w:rsid w:val="384D372D"/>
    <w:rsid w:val="398057DC"/>
    <w:rsid w:val="3B1D5F20"/>
    <w:rsid w:val="3EAD3546"/>
    <w:rsid w:val="3F0607D0"/>
    <w:rsid w:val="406F7B96"/>
    <w:rsid w:val="41E77BF5"/>
    <w:rsid w:val="46824B9B"/>
    <w:rsid w:val="468B6F9A"/>
    <w:rsid w:val="47372A84"/>
    <w:rsid w:val="47A520E4"/>
    <w:rsid w:val="47B41FB4"/>
    <w:rsid w:val="47E615CC"/>
    <w:rsid w:val="480224E2"/>
    <w:rsid w:val="4840005F"/>
    <w:rsid w:val="48B1627F"/>
    <w:rsid w:val="4B4606FF"/>
    <w:rsid w:val="4BC13280"/>
    <w:rsid w:val="4C344056"/>
    <w:rsid w:val="4CAB12ED"/>
    <w:rsid w:val="4E7B0C6B"/>
    <w:rsid w:val="4F254F06"/>
    <w:rsid w:val="513444D8"/>
    <w:rsid w:val="51700605"/>
    <w:rsid w:val="51B32451"/>
    <w:rsid w:val="51BE2FD9"/>
    <w:rsid w:val="52E6027B"/>
    <w:rsid w:val="52F118A1"/>
    <w:rsid w:val="53185E60"/>
    <w:rsid w:val="538D0FE8"/>
    <w:rsid w:val="53C12487"/>
    <w:rsid w:val="54381450"/>
    <w:rsid w:val="563C256E"/>
    <w:rsid w:val="563F548B"/>
    <w:rsid w:val="56B7346D"/>
    <w:rsid w:val="56D51C6F"/>
    <w:rsid w:val="56F35646"/>
    <w:rsid w:val="579B7B05"/>
    <w:rsid w:val="5894024B"/>
    <w:rsid w:val="58AD09C1"/>
    <w:rsid w:val="59125CC4"/>
    <w:rsid w:val="597D41A4"/>
    <w:rsid w:val="59E628AC"/>
    <w:rsid w:val="5AC142A1"/>
    <w:rsid w:val="5B0F2DB8"/>
    <w:rsid w:val="5B394BC5"/>
    <w:rsid w:val="5B9A70B8"/>
    <w:rsid w:val="5D2F7CA9"/>
    <w:rsid w:val="5D557A6A"/>
    <w:rsid w:val="5DF64B06"/>
    <w:rsid w:val="5F4E6332"/>
    <w:rsid w:val="60487659"/>
    <w:rsid w:val="606721D5"/>
    <w:rsid w:val="6174313E"/>
    <w:rsid w:val="629E6958"/>
    <w:rsid w:val="63391A64"/>
    <w:rsid w:val="63482C0B"/>
    <w:rsid w:val="63B94086"/>
    <w:rsid w:val="63C34609"/>
    <w:rsid w:val="64853567"/>
    <w:rsid w:val="652F0DE7"/>
    <w:rsid w:val="66CE62C4"/>
    <w:rsid w:val="67122238"/>
    <w:rsid w:val="68141390"/>
    <w:rsid w:val="68342E40"/>
    <w:rsid w:val="685E4A1D"/>
    <w:rsid w:val="6A216CB1"/>
    <w:rsid w:val="6A6D6E40"/>
    <w:rsid w:val="6A88226F"/>
    <w:rsid w:val="6B1228A9"/>
    <w:rsid w:val="6BA96764"/>
    <w:rsid w:val="6BE325AB"/>
    <w:rsid w:val="6CD858B4"/>
    <w:rsid w:val="6CF54F38"/>
    <w:rsid w:val="6D8B788B"/>
    <w:rsid w:val="6E064F04"/>
    <w:rsid w:val="6E6164B5"/>
    <w:rsid w:val="6FE73226"/>
    <w:rsid w:val="706B7E42"/>
    <w:rsid w:val="70A92E7E"/>
    <w:rsid w:val="71AD7C63"/>
    <w:rsid w:val="724A3704"/>
    <w:rsid w:val="72DD1E82"/>
    <w:rsid w:val="72F87F30"/>
    <w:rsid w:val="74EA0887"/>
    <w:rsid w:val="75197AE2"/>
    <w:rsid w:val="75A60C51"/>
    <w:rsid w:val="769F50C1"/>
    <w:rsid w:val="776E31BF"/>
    <w:rsid w:val="77C93E9D"/>
    <w:rsid w:val="77FD75A4"/>
    <w:rsid w:val="79DA25CC"/>
    <w:rsid w:val="79F51639"/>
    <w:rsid w:val="7A6C349F"/>
    <w:rsid w:val="7B317B0D"/>
    <w:rsid w:val="7BE031B8"/>
    <w:rsid w:val="7C6B2567"/>
    <w:rsid w:val="7D637428"/>
    <w:rsid w:val="7E261B78"/>
    <w:rsid w:val="7EA561DB"/>
    <w:rsid w:val="7F894F56"/>
    <w:rsid w:val="7FA327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16"/>
    <w:autoRedefine/>
    <w:qFormat/>
    <w:uiPriority w:val="9"/>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Date"/>
    <w:basedOn w:val="1"/>
    <w:next w:val="1"/>
    <w:link w:val="18"/>
    <w:autoRedefine/>
    <w:semiHidden/>
    <w:unhideWhenUsed/>
    <w:qFormat/>
    <w:uiPriority w:val="99"/>
    <w:pPr>
      <w:ind w:left="100" w:leftChars="2500"/>
    </w:pPr>
  </w:style>
  <w:style w:type="paragraph" w:styleId="5">
    <w:name w:val="Balloon Text"/>
    <w:basedOn w:val="1"/>
    <w:link w:val="17"/>
    <w:autoRedefine/>
    <w:qFormat/>
    <w:uiPriority w:val="99"/>
    <w:rPr>
      <w:sz w:val="18"/>
      <w:szCs w:val="18"/>
    </w:rPr>
  </w:style>
  <w:style w:type="paragraph" w:styleId="6">
    <w:name w:val="footer"/>
    <w:basedOn w:val="1"/>
    <w:link w:val="14"/>
    <w:autoRedefine/>
    <w:qFormat/>
    <w:uiPriority w:val="99"/>
    <w:pPr>
      <w:tabs>
        <w:tab w:val="center" w:pos="4153"/>
        <w:tab w:val="right" w:pos="8306"/>
      </w:tabs>
      <w:snapToGrid w:val="0"/>
      <w:jc w:val="left"/>
    </w:pPr>
    <w:rPr>
      <w:sz w:val="18"/>
      <w:szCs w:val="18"/>
    </w:rPr>
  </w:style>
  <w:style w:type="paragraph" w:styleId="7">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99"/>
    <w:pPr>
      <w:widowControl/>
      <w:spacing w:before="100" w:beforeAutospacing="1" w:after="100" w:afterAutospacing="1"/>
      <w:jc w:val="left"/>
    </w:pPr>
    <w:rPr>
      <w:rFonts w:ascii="宋体" w:hAnsi="宋体"/>
      <w:kern w:val="0"/>
      <w:sz w:val="24"/>
      <w:szCs w:val="24"/>
    </w:rPr>
  </w:style>
  <w:style w:type="character" w:styleId="11">
    <w:name w:val="Strong"/>
    <w:basedOn w:val="10"/>
    <w:autoRedefine/>
    <w:qFormat/>
    <w:uiPriority w:val="22"/>
    <w:rPr>
      <w:b/>
      <w:bCs/>
    </w:rPr>
  </w:style>
  <w:style w:type="character" w:styleId="12">
    <w:name w:val="Hyperlink"/>
    <w:basedOn w:val="10"/>
    <w:autoRedefine/>
    <w:qFormat/>
    <w:uiPriority w:val="99"/>
    <w:rPr>
      <w:color w:val="0000FF"/>
      <w:u w:val="single"/>
    </w:rPr>
  </w:style>
  <w:style w:type="character" w:customStyle="1" w:styleId="13">
    <w:name w:val="页眉 Char"/>
    <w:basedOn w:val="10"/>
    <w:link w:val="7"/>
    <w:autoRedefine/>
    <w:qFormat/>
    <w:uiPriority w:val="99"/>
    <w:rPr>
      <w:sz w:val="18"/>
      <w:szCs w:val="18"/>
    </w:rPr>
  </w:style>
  <w:style w:type="character" w:customStyle="1" w:styleId="14">
    <w:name w:val="页脚 Char"/>
    <w:basedOn w:val="10"/>
    <w:link w:val="6"/>
    <w:autoRedefine/>
    <w:qFormat/>
    <w:uiPriority w:val="99"/>
    <w:rPr>
      <w:sz w:val="18"/>
      <w:szCs w:val="18"/>
    </w:rPr>
  </w:style>
  <w:style w:type="paragraph" w:styleId="15">
    <w:name w:val="List Paragraph"/>
    <w:basedOn w:val="1"/>
    <w:autoRedefine/>
    <w:qFormat/>
    <w:uiPriority w:val="34"/>
    <w:pPr>
      <w:ind w:firstLine="420" w:firstLineChars="200"/>
    </w:pPr>
  </w:style>
  <w:style w:type="character" w:customStyle="1" w:styleId="16">
    <w:name w:val="标题 1 Char"/>
    <w:basedOn w:val="10"/>
    <w:link w:val="2"/>
    <w:autoRedefine/>
    <w:qFormat/>
    <w:uiPriority w:val="9"/>
    <w:rPr>
      <w:rFonts w:ascii="宋体" w:hAnsi="宋体" w:eastAsia="宋体" w:cs="宋体"/>
      <w:b/>
      <w:bCs/>
      <w:kern w:val="36"/>
      <w:sz w:val="48"/>
      <w:szCs w:val="48"/>
    </w:rPr>
  </w:style>
  <w:style w:type="character" w:customStyle="1" w:styleId="17">
    <w:name w:val="批注框文本 Char"/>
    <w:basedOn w:val="10"/>
    <w:link w:val="5"/>
    <w:autoRedefine/>
    <w:qFormat/>
    <w:uiPriority w:val="99"/>
    <w:rPr>
      <w:kern w:val="2"/>
      <w:sz w:val="18"/>
      <w:szCs w:val="18"/>
    </w:rPr>
  </w:style>
  <w:style w:type="character" w:customStyle="1" w:styleId="18">
    <w:name w:val="日期 Char"/>
    <w:basedOn w:val="10"/>
    <w:link w:val="4"/>
    <w:autoRedefine/>
    <w:semiHidden/>
    <w:qFormat/>
    <w:uiPriority w:val="99"/>
    <w:rPr>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6301</Words>
  <Characters>6424</Characters>
  <Lines>83</Lines>
  <Paragraphs>23</Paragraphs>
  <TotalTime>9</TotalTime>
  <ScaleCrop>false</ScaleCrop>
  <LinksUpToDate>false</LinksUpToDate>
  <CharactersWithSpaces>6466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2021-03-31T01:32:00Z</dcterms:created>
  <dc:creator>lenovo</dc:creator>
  <cp:lastModifiedBy>alice</cp:lastModifiedBy>
  <dcterms:modified xsi:type="dcterms:W3CDTF">2026-03-10T00:50:28Z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22BD0D87A3D94DFD80E92014589A59E1_13</vt:lpwstr>
  </property>
  <property fmtid="{D5CDD505-2E9C-101B-9397-08002B2CF9AE}" pid="4" name="KSOTemplateDocerSaveRecord">
    <vt:lpwstr>eyJoZGlkIjoiNWFjMzc0ZTAyODc2YTEzZGIyOTZkODhkZmMwNDJmNTciLCJ1c2VySWQiOiIyNzc4OTE5NzQifQ==</vt:lpwstr>
  </property>
</Properties>
</file>